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38" w:rsidRPr="002759B9" w:rsidRDefault="00C26438" w:rsidP="00C26438">
      <w:pPr>
        <w:pStyle w:val="5"/>
        <w:tabs>
          <w:tab w:val="clear" w:pos="360"/>
        </w:tabs>
        <w:spacing w:line="360" w:lineRule="auto"/>
        <w:ind w:left="1470" w:hanging="15"/>
        <w:jc w:val="center"/>
        <w:rPr>
          <w:rFonts w:ascii="Times New Roman" w:hAnsi="Times New Roman"/>
          <w:sz w:val="24"/>
        </w:rPr>
      </w:pPr>
      <w:r w:rsidRPr="002759B9">
        <w:rPr>
          <w:rFonts w:ascii="Times New Roman" w:hAnsi="Times New Roman"/>
          <w:sz w:val="24"/>
        </w:rPr>
        <w:t>Государственное бюджетное учреждение дополнительного образования</w:t>
      </w:r>
    </w:p>
    <w:p w:rsidR="00C26438" w:rsidRDefault="00C26438" w:rsidP="00C26438">
      <w:pPr>
        <w:spacing w:line="360" w:lineRule="auto"/>
        <w:ind w:left="1470" w:hanging="15"/>
        <w:jc w:val="center"/>
        <w:rPr>
          <w:b/>
        </w:rPr>
      </w:pPr>
      <w:r w:rsidRPr="002759B9">
        <w:rPr>
          <w:b/>
        </w:rPr>
        <w:t xml:space="preserve">Дворец творчества «У Вознесенского моста» </w:t>
      </w:r>
    </w:p>
    <w:p w:rsidR="00C26438" w:rsidRDefault="00C26438" w:rsidP="00C26438">
      <w:pPr>
        <w:spacing w:line="360" w:lineRule="auto"/>
        <w:ind w:left="1470" w:hanging="15"/>
        <w:jc w:val="center"/>
        <w:rPr>
          <w:b/>
        </w:rPr>
      </w:pPr>
      <w:r w:rsidRPr="002759B9">
        <w:rPr>
          <w:b/>
        </w:rPr>
        <w:t>Адмиралтейского района  Санкт-Петербурга</w:t>
      </w:r>
    </w:p>
    <w:p w:rsidR="00C26438" w:rsidRDefault="00C26438" w:rsidP="00C26438">
      <w:pPr>
        <w:spacing w:line="100" w:lineRule="atLeast"/>
        <w:ind w:left="1470" w:hanging="15"/>
        <w:jc w:val="center"/>
        <w:rPr>
          <w:b/>
        </w:rPr>
      </w:pPr>
    </w:p>
    <w:p w:rsidR="00C26438" w:rsidRDefault="00C26438" w:rsidP="00C26438">
      <w:pPr>
        <w:spacing w:line="100" w:lineRule="atLeast"/>
        <w:ind w:left="1470" w:hanging="15"/>
        <w:jc w:val="center"/>
        <w:rPr>
          <w:b/>
        </w:rPr>
      </w:pPr>
    </w:p>
    <w:p w:rsidR="00C26438" w:rsidRPr="0046654D" w:rsidRDefault="00C26438" w:rsidP="00C26438">
      <w:pPr>
        <w:pStyle w:val="headertext"/>
        <w:tabs>
          <w:tab w:val="left" w:pos="4028"/>
          <w:tab w:val="center" w:pos="4677"/>
        </w:tabs>
        <w:spacing w:before="0" w:beforeAutospacing="0" w:after="0" w:afterAutospacing="0"/>
        <w:jc w:val="center"/>
        <w:rPr>
          <w:b/>
        </w:rPr>
      </w:pPr>
      <w:r w:rsidRPr="0046654D">
        <w:rPr>
          <w:b/>
        </w:rPr>
        <w:t>Приказ №</w:t>
      </w:r>
      <w:r w:rsidR="00DB17A1">
        <w:rPr>
          <w:b/>
        </w:rPr>
        <w:t xml:space="preserve"> 50</w:t>
      </w:r>
    </w:p>
    <w:p w:rsidR="00C26438" w:rsidRDefault="00DB17A1" w:rsidP="00C26438">
      <w:pPr>
        <w:pStyle w:val="headertext"/>
        <w:tabs>
          <w:tab w:val="left" w:pos="4028"/>
          <w:tab w:val="center" w:pos="4677"/>
        </w:tabs>
        <w:spacing w:before="0" w:beforeAutospacing="0" w:after="0" w:afterAutospacing="0"/>
        <w:jc w:val="right"/>
      </w:pPr>
      <w:r>
        <w:t xml:space="preserve"> от  01сентября </w:t>
      </w:r>
      <w:r w:rsidR="00C26438">
        <w:t xml:space="preserve"> 2018г.</w:t>
      </w:r>
    </w:p>
    <w:p w:rsidR="00C26438" w:rsidRDefault="00C26438" w:rsidP="0054650C">
      <w:pPr>
        <w:pStyle w:val="formattext"/>
        <w:spacing w:before="0" w:beforeAutospacing="0" w:after="0" w:afterAutospacing="0"/>
        <w:jc w:val="right"/>
      </w:pPr>
    </w:p>
    <w:p w:rsidR="0054650C" w:rsidRDefault="0054650C" w:rsidP="0054650C">
      <w:pPr>
        <w:pStyle w:val="formattext"/>
        <w:spacing w:before="0" w:beforeAutospacing="0" w:after="0" w:afterAutospacing="0"/>
      </w:pPr>
    </w:p>
    <w:p w:rsidR="0054650C" w:rsidRDefault="0054650C" w:rsidP="0054650C">
      <w:pPr>
        <w:pStyle w:val="formattext"/>
        <w:spacing w:before="0" w:beforeAutospacing="0" w:after="0" w:afterAutospacing="0"/>
      </w:pPr>
    </w:p>
    <w:p w:rsidR="00C26438" w:rsidRDefault="00C26438" w:rsidP="00C26438">
      <w:pPr>
        <w:pStyle w:val="a4"/>
      </w:pPr>
      <w:r>
        <w:rPr>
          <w:b/>
          <w:bCs/>
        </w:rPr>
        <w:t>О профилактике коррупционных проявлений</w:t>
      </w:r>
    </w:p>
    <w:p w:rsidR="00C26438" w:rsidRDefault="00C26438" w:rsidP="00C26438">
      <w:pPr>
        <w:pStyle w:val="a4"/>
      </w:pPr>
      <w:r>
        <w:rPr>
          <w:b/>
          <w:bCs/>
        </w:rPr>
        <w:t>в ГБУ ДО ДТ « У Вознесенского моста»</w:t>
      </w:r>
    </w:p>
    <w:p w:rsidR="00C26438" w:rsidRDefault="00C26438" w:rsidP="00C26438">
      <w:pPr>
        <w:pStyle w:val="a4"/>
        <w:spacing w:after="240" w:afterAutospacing="0"/>
      </w:pPr>
    </w:p>
    <w:p w:rsidR="00C26438" w:rsidRDefault="00C26438" w:rsidP="00C26438">
      <w:pPr>
        <w:pStyle w:val="a4"/>
      </w:pPr>
      <w:r>
        <w:rPr>
          <w:color w:val="000000"/>
        </w:rPr>
        <w:t>В целях формирования антикоррупционного мировоззрения и повышения общего уровня правосознания и правовой культуры Учреждения</w:t>
      </w:r>
    </w:p>
    <w:p w:rsidR="00C26438" w:rsidRDefault="00C26438" w:rsidP="00C26438">
      <w:pPr>
        <w:pStyle w:val="a4"/>
        <w:spacing w:after="240" w:afterAutospacing="0"/>
      </w:pPr>
    </w:p>
    <w:p w:rsidR="00C26438" w:rsidRDefault="00C26438" w:rsidP="00C26438">
      <w:pPr>
        <w:pStyle w:val="a4"/>
      </w:pPr>
      <w:r>
        <w:rPr>
          <w:color w:val="000000"/>
        </w:rPr>
        <w:t>ПРИКАЗЫВАЮ:</w:t>
      </w:r>
    </w:p>
    <w:p w:rsidR="00C26438" w:rsidRDefault="00C26438" w:rsidP="00C26438">
      <w:pPr>
        <w:pStyle w:val="a4"/>
      </w:pPr>
      <w:r>
        <w:rPr>
          <w:color w:val="000000"/>
        </w:rPr>
        <w:t>1. Руководителям всех структурных подразделений организовать работу по ознакомлению сотрудников с «Перечнем нормативных, правовых и иных актов в сфере противодействия коррупции» (далее - Перечень) в соответствии с приложением №1:</w:t>
      </w:r>
    </w:p>
    <w:p w:rsidR="00C26438" w:rsidRPr="00C26438" w:rsidRDefault="00C26438" w:rsidP="00C26438">
      <w:pPr>
        <w:pStyle w:val="a4"/>
        <w:numPr>
          <w:ilvl w:val="1"/>
          <w:numId w:val="2"/>
        </w:numPr>
        <w:jc w:val="both"/>
      </w:pPr>
      <w:r>
        <w:rPr>
          <w:color w:val="000000"/>
        </w:rPr>
        <w:t xml:space="preserve">Ознакомить руководителей структурных подразделений с Перечнем под роспись. </w:t>
      </w:r>
    </w:p>
    <w:p w:rsidR="00C26438" w:rsidRDefault="00C26438" w:rsidP="00C26438">
      <w:pPr>
        <w:pStyle w:val="a4"/>
        <w:ind w:left="1440"/>
        <w:jc w:val="both"/>
      </w:pPr>
    </w:p>
    <w:p w:rsidR="00C26438" w:rsidRDefault="00C26438" w:rsidP="00C26438">
      <w:pPr>
        <w:pStyle w:val="a4"/>
        <w:numPr>
          <w:ilvl w:val="1"/>
          <w:numId w:val="2"/>
        </w:numPr>
        <w:jc w:val="both"/>
      </w:pPr>
      <w:r>
        <w:rPr>
          <w:color w:val="000000"/>
        </w:rPr>
        <w:t>Руководителям структурных подразделений провести разъяснительные беседы со всеми работниками вверенных им структурных подразделений о недопустимости коррупционных проявлений при организации административно-хозяйственной, образовательной или иной деятельности в Учреждении. Познакомить с «Перечнем нормативных, правовых и иных актов в сфере противодействия коррупции» на педагогических советах структурных подразделений.</w:t>
      </w:r>
    </w:p>
    <w:p w:rsidR="00C26438" w:rsidRDefault="00C26438" w:rsidP="00C26438">
      <w:pPr>
        <w:pStyle w:val="a4"/>
        <w:spacing w:after="240" w:afterAutospacing="0"/>
      </w:pPr>
    </w:p>
    <w:p w:rsidR="00C26438" w:rsidRDefault="00C26438" w:rsidP="00C26438">
      <w:pPr>
        <w:pStyle w:val="a4"/>
        <w:spacing w:after="240" w:afterAutospacing="0"/>
      </w:pPr>
    </w:p>
    <w:p w:rsidR="00C26438" w:rsidRDefault="00C26438" w:rsidP="00C26438">
      <w:pPr>
        <w:pStyle w:val="a4"/>
        <w:jc w:val="center"/>
        <w:rPr>
          <w:color w:val="000000"/>
        </w:rPr>
      </w:pPr>
      <w:r>
        <w:rPr>
          <w:color w:val="000000"/>
        </w:rPr>
        <w:t xml:space="preserve">Директор ДТ                                                             Э. А. </w:t>
      </w:r>
      <w:proofErr w:type="spellStart"/>
      <w:r>
        <w:rPr>
          <w:color w:val="000000"/>
        </w:rPr>
        <w:t>Музиль</w:t>
      </w:r>
      <w:proofErr w:type="spellEnd"/>
    </w:p>
    <w:p w:rsidR="0090232F" w:rsidRDefault="0090232F" w:rsidP="00C26438">
      <w:pPr>
        <w:pStyle w:val="a4"/>
        <w:jc w:val="center"/>
        <w:rPr>
          <w:color w:val="000000"/>
        </w:rPr>
      </w:pPr>
    </w:p>
    <w:p w:rsidR="00947934" w:rsidRDefault="00947934" w:rsidP="00675726">
      <w:pPr>
        <w:pStyle w:val="1"/>
        <w:spacing w:before="0" w:after="270" w:line="375" w:lineRule="atLeast"/>
        <w:jc w:val="right"/>
        <w:rPr>
          <w:rFonts w:ascii="Roboto" w:eastAsia="Times New Roman" w:hAnsi="Roboto" w:cs="Times New Roman"/>
          <w:b w:val="0"/>
          <w:bCs w:val="0"/>
          <w:color w:val="383838"/>
          <w:spacing w:val="4"/>
          <w:sz w:val="24"/>
          <w:szCs w:val="24"/>
        </w:rPr>
      </w:pPr>
    </w:p>
    <w:p w:rsidR="0090232F" w:rsidRPr="00947934" w:rsidRDefault="00675726" w:rsidP="00947934">
      <w:pPr>
        <w:pStyle w:val="1"/>
        <w:spacing w:before="0" w:after="270" w:line="375" w:lineRule="atLeast"/>
        <w:jc w:val="right"/>
        <w:rPr>
          <w:rFonts w:ascii="Roboto" w:eastAsia="Times New Roman" w:hAnsi="Roboto" w:cs="Times New Roman"/>
          <w:b w:val="0"/>
          <w:bCs w:val="0"/>
          <w:color w:val="383838"/>
          <w:spacing w:val="4"/>
          <w:sz w:val="24"/>
          <w:szCs w:val="24"/>
        </w:rPr>
      </w:pPr>
      <w:r w:rsidRPr="00675726">
        <w:rPr>
          <w:rFonts w:ascii="Roboto" w:eastAsia="Times New Roman" w:hAnsi="Roboto" w:cs="Times New Roman"/>
          <w:b w:val="0"/>
          <w:bCs w:val="0"/>
          <w:color w:val="383838"/>
          <w:spacing w:val="4"/>
          <w:sz w:val="24"/>
          <w:szCs w:val="24"/>
        </w:rPr>
        <w:t>Приложение№1</w:t>
      </w:r>
    </w:p>
    <w:p w:rsidR="00675726" w:rsidRPr="00675726" w:rsidRDefault="00675726" w:rsidP="00675726">
      <w:pPr>
        <w:pStyle w:val="2"/>
        <w:shd w:val="clear" w:color="auto" w:fill="FFFFFF"/>
        <w:spacing w:before="150"/>
        <w:rPr>
          <w:rFonts w:ascii="Roboto" w:eastAsia="Times New Roman" w:hAnsi="Roboto" w:cs="Times New Roman"/>
          <w:bCs w:val="0"/>
          <w:color w:val="383838"/>
          <w:spacing w:val="4"/>
          <w:sz w:val="21"/>
          <w:szCs w:val="21"/>
        </w:rPr>
      </w:pPr>
      <w:r w:rsidRPr="00675726">
        <w:rPr>
          <w:rFonts w:ascii="Roboto" w:eastAsia="Times New Roman" w:hAnsi="Roboto" w:cs="Times New Roman"/>
          <w:bCs w:val="0"/>
          <w:color w:val="383838"/>
          <w:spacing w:val="4"/>
          <w:sz w:val="21"/>
          <w:szCs w:val="21"/>
        </w:rPr>
        <w:t>Федеральные документы</w:t>
      </w:r>
    </w:p>
    <w:p w:rsidR="00675726" w:rsidRDefault="0090232F" w:rsidP="00675726">
      <w:pPr>
        <w:pStyle w:val="a4"/>
        <w:numPr>
          <w:ilvl w:val="0"/>
          <w:numId w:val="3"/>
        </w:numPr>
        <w:spacing w:before="150" w:beforeAutospacing="0" w:after="150" w:afterAutospacing="0" w:line="300" w:lineRule="atLeast"/>
        <w:ind w:left="0"/>
        <w:rPr>
          <w:rFonts w:ascii="Roboto" w:hAnsi="Roboto"/>
          <w:color w:val="383838"/>
          <w:spacing w:val="4"/>
        </w:rPr>
      </w:pPr>
      <w:r w:rsidRPr="00675726">
        <w:rPr>
          <w:rFonts w:ascii="Roboto" w:hAnsi="Roboto"/>
          <w:color w:val="383838"/>
          <w:spacing w:val="4"/>
        </w:rPr>
        <w:t>Федеральный закон Российской Федерации от 25.12.2008 N 273-ФЗ «О противодействии коррупции» </w:t>
      </w:r>
    </w:p>
    <w:p w:rsidR="00675726" w:rsidRPr="00675726" w:rsidRDefault="00DC5B17" w:rsidP="00675726">
      <w:pPr>
        <w:pStyle w:val="a4"/>
        <w:numPr>
          <w:ilvl w:val="0"/>
          <w:numId w:val="3"/>
        </w:numPr>
        <w:spacing w:before="150" w:beforeAutospacing="0" w:after="150" w:afterAutospacing="0" w:line="300" w:lineRule="atLeast"/>
        <w:ind w:left="0"/>
        <w:rPr>
          <w:rFonts w:ascii="Roboto" w:hAnsi="Roboto"/>
          <w:color w:val="383838"/>
          <w:spacing w:val="4"/>
        </w:rPr>
      </w:pPr>
      <w:hyperlink r:id="rId5" w:tgtFrame="_blank" w:history="1">
        <w:r w:rsidR="00675726" w:rsidRPr="00675726">
          <w:rPr>
            <w:rFonts w:ascii="Roboto" w:hAnsi="Roboto"/>
            <w:color w:val="383838"/>
            <w:spacing w:val="4"/>
          </w:rPr>
          <w:t>Указ Президента РФ от 02.04.2013 №309 (ред. от 03.12.2013) «О мерах по реализации отдельных положений Федерального закона "О противодействии коррупции" (вместе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коррупции»)</w:t>
        </w:r>
      </w:hyperlink>
      <w:r w:rsidR="00675726" w:rsidRPr="00675726">
        <w:rPr>
          <w:rFonts w:ascii="Roboto" w:hAnsi="Roboto"/>
          <w:color w:val="383838"/>
          <w:spacing w:val="4"/>
          <w:sz w:val="21"/>
          <w:szCs w:val="21"/>
        </w:rPr>
        <w:t> </w:t>
      </w:r>
    </w:p>
    <w:p w:rsidR="00675726" w:rsidRPr="00675726" w:rsidRDefault="00675726" w:rsidP="00675726">
      <w:pPr>
        <w:pStyle w:val="2"/>
        <w:shd w:val="clear" w:color="auto" w:fill="FFFFFF"/>
        <w:spacing w:before="150"/>
        <w:rPr>
          <w:rFonts w:ascii="Roboto" w:eastAsia="Times New Roman" w:hAnsi="Roboto" w:cs="Times New Roman"/>
          <w:bCs w:val="0"/>
          <w:color w:val="383838"/>
          <w:spacing w:val="4"/>
          <w:sz w:val="21"/>
          <w:szCs w:val="21"/>
        </w:rPr>
      </w:pPr>
      <w:r w:rsidRPr="00675726">
        <w:rPr>
          <w:rFonts w:ascii="Roboto" w:eastAsia="Times New Roman" w:hAnsi="Roboto" w:cs="Times New Roman"/>
          <w:bCs w:val="0"/>
          <w:color w:val="383838"/>
          <w:spacing w:val="4"/>
          <w:sz w:val="21"/>
          <w:szCs w:val="21"/>
        </w:rPr>
        <w:t>Региональные документы</w:t>
      </w:r>
    </w:p>
    <w:p w:rsidR="00675726" w:rsidRPr="00675726" w:rsidRDefault="00DC5B17" w:rsidP="00675726">
      <w:pPr>
        <w:pStyle w:val="a3"/>
        <w:numPr>
          <w:ilvl w:val="0"/>
          <w:numId w:val="6"/>
        </w:numPr>
        <w:shd w:val="clear" w:color="auto" w:fill="FFFFFF"/>
        <w:spacing w:after="240" w:line="315" w:lineRule="atLeast"/>
        <w:ind w:left="0"/>
        <w:rPr>
          <w:rFonts w:ascii="Roboto" w:eastAsia="Times New Roman" w:hAnsi="Roboto"/>
          <w:color w:val="383838"/>
          <w:spacing w:val="4"/>
          <w:sz w:val="21"/>
          <w:szCs w:val="21"/>
        </w:rPr>
      </w:pPr>
      <w:hyperlink r:id="rId6" w:tgtFrame="_blank" w:history="1">
        <w:r w:rsidR="00675726" w:rsidRPr="00675726">
          <w:rPr>
            <w:rFonts w:ascii="Roboto" w:eastAsia="Times New Roman" w:hAnsi="Roboto"/>
            <w:color w:val="383838"/>
            <w:spacing w:val="4"/>
          </w:rPr>
          <w:t>Распоряжение Администрации Губернатора Санкт-Петербурга от 20.04.2018 «О мерах по совершенствованию информирования населения Санкт-Петербурга о ходе реализации антикоррупционной политики»</w:t>
        </w:r>
      </w:hyperlink>
      <w:r w:rsidR="00675726" w:rsidRPr="00675726">
        <w:rPr>
          <w:rFonts w:ascii="Roboto" w:eastAsia="Times New Roman" w:hAnsi="Roboto"/>
          <w:color w:val="383838"/>
          <w:spacing w:val="4"/>
          <w:sz w:val="21"/>
          <w:szCs w:val="21"/>
        </w:rPr>
        <w:t> </w:t>
      </w:r>
    </w:p>
    <w:p w:rsidR="00675726" w:rsidRPr="00675726" w:rsidRDefault="00DC5B17" w:rsidP="00675726">
      <w:pPr>
        <w:pStyle w:val="a3"/>
        <w:numPr>
          <w:ilvl w:val="0"/>
          <w:numId w:val="6"/>
        </w:numPr>
        <w:shd w:val="clear" w:color="auto" w:fill="FFFFFF"/>
        <w:spacing w:after="240" w:line="315" w:lineRule="atLeast"/>
        <w:ind w:left="0"/>
        <w:rPr>
          <w:rFonts w:ascii="Roboto" w:eastAsia="Times New Roman" w:hAnsi="Roboto"/>
          <w:color w:val="383838"/>
          <w:spacing w:val="4"/>
          <w:sz w:val="21"/>
          <w:szCs w:val="21"/>
        </w:rPr>
      </w:pPr>
      <w:hyperlink r:id="rId7" w:tgtFrame="_blank" w:history="1">
        <w:r w:rsidR="00675726" w:rsidRPr="00675726">
          <w:rPr>
            <w:rFonts w:ascii="Roboto" w:eastAsia="Times New Roman" w:hAnsi="Roboto"/>
            <w:color w:val="383838"/>
            <w:spacing w:val="4"/>
          </w:rPr>
          <w:t>Распоряжение Комитета по образованию от 30.10.2013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сбора...</w:t>
        </w:r>
      </w:hyperlink>
      <w:r w:rsidR="00675726" w:rsidRPr="00675726">
        <w:rPr>
          <w:rFonts w:ascii="Roboto" w:eastAsia="Times New Roman" w:hAnsi="Roboto"/>
          <w:color w:val="383838"/>
          <w:spacing w:val="4"/>
          <w:sz w:val="21"/>
          <w:szCs w:val="21"/>
        </w:rPr>
        <w:t> </w:t>
      </w:r>
    </w:p>
    <w:p w:rsidR="00675726" w:rsidRPr="00675726" w:rsidRDefault="00DC5B17" w:rsidP="00675726">
      <w:pPr>
        <w:pStyle w:val="a3"/>
        <w:numPr>
          <w:ilvl w:val="0"/>
          <w:numId w:val="6"/>
        </w:numPr>
        <w:shd w:val="clear" w:color="auto" w:fill="FFFFFF"/>
        <w:spacing w:after="240" w:line="315" w:lineRule="atLeast"/>
        <w:ind w:left="0"/>
        <w:rPr>
          <w:rFonts w:ascii="Roboto" w:eastAsia="Times New Roman" w:hAnsi="Roboto"/>
          <w:color w:val="383838"/>
          <w:spacing w:val="4"/>
          <w:sz w:val="21"/>
          <w:szCs w:val="21"/>
        </w:rPr>
      </w:pPr>
      <w:hyperlink r:id="rId8" w:tgtFrame="_blank" w:history="1">
        <w:r w:rsidR="00675726" w:rsidRPr="00675726">
          <w:rPr>
            <w:rFonts w:ascii="Roboto" w:eastAsia="Times New Roman" w:hAnsi="Roboto"/>
            <w:color w:val="383838"/>
            <w:spacing w:val="4"/>
          </w:rPr>
          <w:t>Распоряжение Комитета по образованию от 23.07.2013 № 1675-р Правительства Санкт-Петербурга «Об утверждении Комплекса мер, направленных на недопущение незаконных сборов денежных средств с родителей </w:t>
        </w:r>
      </w:hyperlink>
    </w:p>
    <w:p w:rsidR="00675726" w:rsidRPr="00675726" w:rsidRDefault="00DC5B17" w:rsidP="00675726">
      <w:pPr>
        <w:pStyle w:val="a3"/>
        <w:numPr>
          <w:ilvl w:val="0"/>
          <w:numId w:val="6"/>
        </w:numPr>
        <w:shd w:val="clear" w:color="auto" w:fill="FFFFFF"/>
        <w:spacing w:after="240" w:line="315" w:lineRule="atLeast"/>
        <w:ind w:left="0"/>
        <w:rPr>
          <w:rFonts w:ascii="Roboto" w:eastAsia="Times New Roman" w:hAnsi="Roboto"/>
          <w:color w:val="383838"/>
          <w:spacing w:val="4"/>
          <w:sz w:val="21"/>
          <w:szCs w:val="21"/>
        </w:rPr>
      </w:pPr>
      <w:hyperlink r:id="rId9" w:tgtFrame="_blank" w:history="1">
        <w:r w:rsidR="00675726" w:rsidRPr="00675726">
          <w:rPr>
            <w:rFonts w:ascii="Roboto" w:eastAsia="Times New Roman" w:hAnsi="Roboto"/>
            <w:color w:val="383838"/>
            <w:spacing w:val="4"/>
          </w:rPr>
          <w:t>Постановление № 706 от 15.08.2013 "Об утверждении правил оказания платных услуг и правила оказания платных услуг"</w:t>
        </w:r>
      </w:hyperlink>
      <w:r w:rsidR="00675726" w:rsidRPr="00675726">
        <w:rPr>
          <w:rFonts w:ascii="Roboto" w:eastAsia="Times New Roman" w:hAnsi="Roboto"/>
          <w:color w:val="383838"/>
          <w:spacing w:val="4"/>
          <w:sz w:val="21"/>
          <w:szCs w:val="21"/>
        </w:rPr>
        <w:t> </w:t>
      </w:r>
    </w:p>
    <w:p w:rsidR="0090232F" w:rsidRPr="00FB7568" w:rsidRDefault="00DC5B17" w:rsidP="00675726">
      <w:pPr>
        <w:pStyle w:val="a3"/>
        <w:numPr>
          <w:ilvl w:val="0"/>
          <w:numId w:val="6"/>
        </w:numPr>
        <w:shd w:val="clear" w:color="auto" w:fill="FFFFFF"/>
        <w:spacing w:line="315" w:lineRule="atLeast"/>
        <w:ind w:left="0"/>
      </w:pPr>
      <w:hyperlink r:id="rId10" w:tgtFrame="_blank" w:history="1">
        <w:r w:rsidR="00675726" w:rsidRPr="00675726">
          <w:rPr>
            <w:rFonts w:ascii="Roboto" w:eastAsia="Times New Roman" w:hAnsi="Roboto"/>
            <w:color w:val="383838"/>
            <w:spacing w:val="4"/>
          </w:rPr>
          <w:t>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  </w:r>
        <w:r w:rsidR="00FB7568">
          <w:rPr>
            <w:rFonts w:ascii="Roboto" w:eastAsia="Times New Roman" w:hAnsi="Roboto"/>
            <w:color w:val="383838"/>
            <w:spacing w:val="4"/>
          </w:rPr>
          <w:t>.</w:t>
        </w:r>
        <w:r w:rsidR="00675726" w:rsidRPr="00675726">
          <w:rPr>
            <w:rFonts w:ascii="Roboto" w:eastAsia="Times New Roman" w:hAnsi="Roboto"/>
            <w:color w:val="383838"/>
            <w:spacing w:val="4"/>
          </w:rPr>
          <w:t> </w:t>
        </w:r>
      </w:hyperlink>
    </w:p>
    <w:p w:rsidR="00FB7568" w:rsidRDefault="00FB7568" w:rsidP="00FB7568">
      <w:pPr>
        <w:shd w:val="clear" w:color="auto" w:fill="FFFFFF"/>
        <w:spacing w:line="315" w:lineRule="atLeast"/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shd w:val="clear" w:color="auto" w:fill="FFFFFF"/>
        <w:ind w:left="45"/>
        <w:jc w:val="center"/>
        <w:rPr>
          <w:sz w:val="20"/>
          <w:szCs w:val="20"/>
        </w:rPr>
      </w:pPr>
    </w:p>
    <w:p w:rsidR="00FB7568" w:rsidRDefault="00FB7568" w:rsidP="00FB7568">
      <w:pPr>
        <w:pStyle w:val="5"/>
        <w:tabs>
          <w:tab w:val="clear" w:pos="360"/>
        </w:tabs>
        <w:spacing w:line="360" w:lineRule="auto"/>
        <w:ind w:left="1470" w:hanging="15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FB7568" w:rsidSect="00546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574F30"/>
    <w:multiLevelType w:val="multilevel"/>
    <w:tmpl w:val="4E8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B530B"/>
    <w:multiLevelType w:val="multilevel"/>
    <w:tmpl w:val="4058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E4A6C"/>
    <w:multiLevelType w:val="hybridMultilevel"/>
    <w:tmpl w:val="CDD4E92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BCC6D85"/>
    <w:multiLevelType w:val="hybridMultilevel"/>
    <w:tmpl w:val="B0DEE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87F59"/>
    <w:multiLevelType w:val="multilevel"/>
    <w:tmpl w:val="9CBC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876D6"/>
    <w:multiLevelType w:val="hybridMultilevel"/>
    <w:tmpl w:val="9A4C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F5E34"/>
    <w:multiLevelType w:val="multilevel"/>
    <w:tmpl w:val="7250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5D3680"/>
    <w:multiLevelType w:val="hybridMultilevel"/>
    <w:tmpl w:val="483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FC"/>
    <w:rsid w:val="001C5AB7"/>
    <w:rsid w:val="00235AEF"/>
    <w:rsid w:val="003029C8"/>
    <w:rsid w:val="0046654D"/>
    <w:rsid w:val="0049145B"/>
    <w:rsid w:val="0054650C"/>
    <w:rsid w:val="00586BC0"/>
    <w:rsid w:val="00646E32"/>
    <w:rsid w:val="00675726"/>
    <w:rsid w:val="00785F95"/>
    <w:rsid w:val="008118C9"/>
    <w:rsid w:val="0082439A"/>
    <w:rsid w:val="0090232F"/>
    <w:rsid w:val="00947934"/>
    <w:rsid w:val="0097493C"/>
    <w:rsid w:val="009F7EF6"/>
    <w:rsid w:val="00A56B73"/>
    <w:rsid w:val="00B04BFC"/>
    <w:rsid w:val="00B21DBC"/>
    <w:rsid w:val="00C26438"/>
    <w:rsid w:val="00DB17A1"/>
    <w:rsid w:val="00DC5B17"/>
    <w:rsid w:val="00E25C16"/>
    <w:rsid w:val="00F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452DD-0D45-4802-ADD7-EE589FFF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5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3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4650C"/>
    <w:pPr>
      <w:keepNext/>
      <w:widowControl w:val="0"/>
      <w:tabs>
        <w:tab w:val="num" w:pos="360"/>
      </w:tabs>
      <w:suppressAutoHyphens/>
      <w:outlineLvl w:val="4"/>
    </w:pPr>
    <w:rPr>
      <w:rFonts w:ascii="Arial" w:eastAsia="SimSun" w:hAnsi="Arial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4650C"/>
    <w:rPr>
      <w:rFonts w:ascii="Arial" w:eastAsia="SimSun" w:hAnsi="Arial" w:cs="Mangal"/>
      <w:b/>
      <w:kern w:val="1"/>
      <w:sz w:val="36"/>
      <w:szCs w:val="24"/>
      <w:lang w:eastAsia="hi-IN" w:bidi="hi-IN"/>
    </w:rPr>
  </w:style>
  <w:style w:type="paragraph" w:customStyle="1" w:styleId="formattext">
    <w:name w:val="formattext"/>
    <w:basedOn w:val="a"/>
    <w:rsid w:val="0054650C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4650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465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643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02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023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5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B7568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rsid w:val="00FB7568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8">
    <w:name w:val="Table Grid"/>
    <w:basedOn w:val="a1"/>
    <w:uiPriority w:val="59"/>
    <w:rsid w:val="0094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479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-lenskoy.ru/docs/untikorrypciya/region/rasporyajenie-ko-23-07-2013-1675-%D1%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-lenskoy.ru/docs/untikorrypciya/region/rasporyajenie-ko-30-10-2013-2524-%D1%8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-lenskoy.ru/docs/untikorrypciya/region/rasporyajenie-adm-spb-20-04-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-lenskoy.ru/docs/untikorrypciya/ukaz-Prezidenta-02-04-2013.pdf" TargetMode="External"/><Relationship Id="rId10" Type="http://schemas.openxmlformats.org/officeDocument/2006/relationships/hyperlink" Target="http://na-lenskoy.ru/docs/untikorrypciya/region/ministerstvo-truda-i-socialnoi-zash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-lenskoy.ru/docs/untikorrypciya/region/postanovlenie_706_ob_utverzhdenii_pravi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Шутов</cp:lastModifiedBy>
  <cp:revision>2</cp:revision>
  <cp:lastPrinted>2018-04-14T11:48:00Z</cp:lastPrinted>
  <dcterms:created xsi:type="dcterms:W3CDTF">2018-10-08T14:55:00Z</dcterms:created>
  <dcterms:modified xsi:type="dcterms:W3CDTF">2018-10-08T14:55:00Z</dcterms:modified>
</cp:coreProperties>
</file>